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object w:dxaOrig="1574" w:dyaOrig="1739">
          <v:rect xmlns:o="urn:schemas-microsoft-com:office:office" xmlns:v="urn:schemas-microsoft-com:vml" id="rectole0000000000" style="width:78.700000pt;height:86.9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PREZYDENT MIASTA RACIBÓRZ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dzia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łając na podstawie art. 38 ust. 1 i 2 ustawy z dnia 21 sierpnia 1997 r. o gospodarce nieruchomościami (t.j. Dz.U. z 2015 r., poz. 1774 z późn.zm.)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og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łasza </w:t>
      </w:r>
    </w:p>
    <w:p>
      <w:pPr>
        <w:spacing w:before="0" w:after="0" w:line="24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                        pierwszy publiczny przetarg ustny nieograniczony na sprzeda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ż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                        gara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żu położonego w Raciborzu przy ul. Londzina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2"/>
          <w:shd w:fill="auto" w:val="clear"/>
        </w:rPr>
        <w:t xml:space="preserve">1. Lokalizacja: 47-400 Racibórz, ul. Londzina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Oznaczenie nieruchomo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ści wg danych z ewidencji gruntów:</w:t>
      </w:r>
    </w:p>
    <w:p>
      <w:pPr>
        <w:spacing w:before="0" w:after="0" w:line="240"/>
        <w:ind w:right="0" w:left="28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nieruchomo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ść zabudowana zespołem garaży, stanowiąca działkę gruntu oznaczoną nr 3349/11 k.m. 4 Racibórz o powierzchni 0.0282 ha, uregulowana w księdze wieczystej numer GL1R/00021565/8 Sądu Rejonowego  w Raciborzu, na własność Gminy Racibórz.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3. 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Opis nieruchomo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ści:</w:t>
      </w:r>
    </w:p>
    <w:p>
      <w:p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3.1. Gara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ż oznaczony nr 2, o powierzchni 15,23 m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  <w:vertAlign w:val="superscript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, jest częścią składową zespołu czterech garaży, zlokalizowanego przy ul. Londzina. Garaż murowany, wymaga remontu.</w:t>
      </w:r>
    </w:p>
    <w:p>
      <w:p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3.2. Z w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łasnością garażu związany będzie udział wynoszący 2575/10000 części w częściach wspólnych budynku  i innych urządzeniach, które nie służą do wyłącznego użytku właścicieli poszczególnych lokali znajdujących się w budynku oraz taki sam udział w prawie własności działki gruntu nr 3349/11 k.m. 4 Racibórz o powierzchni    0.0282 ha, objętej księgą wieczystą nr GL1R/00021565/8.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Obci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ążenia nieruchomości:</w:t>
      </w:r>
    </w:p>
    <w:p>
      <w:pPr>
        <w:spacing w:before="0" w:after="0" w:line="240"/>
        <w:ind w:right="0" w:left="28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nieruchomo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ść wolna jest od praw i roszczeń osób trzecich nie ujawnionych w księdze wieczystej a także jakichkolwiek zobowiązań.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Przeznaczenie nieruchomo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ści i sposób jej zagospodarowania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: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w miejscowym planie zagospodarowania przestrzennego obejmuje tereny zabudowy us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ługowej.</w:t>
      </w:r>
    </w:p>
    <w:p>
      <w:p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6.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Cena wywo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ławcza nieruchomości:</w:t>
      </w:r>
    </w:p>
    <w:p>
      <w:pPr>
        <w:spacing w:before="0" w:after="0" w:line="240"/>
        <w:ind w:right="0" w:left="284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9 000 z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ł, z czego 58% stanowi wartość prawa własności ułamkowej części gruntu, zbywanego wraz                    z garażem.</w:t>
      </w:r>
    </w:p>
    <w:p>
      <w:pPr>
        <w:spacing w:before="0" w:after="0" w:line="240"/>
        <w:ind w:right="0" w:left="28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Na podstawie art. 43 ust. 1 pkt 10 ustawy z dnia 11 marca 2004 r. o podatku od towarów i us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ług (t.j. z 2011 r.  Dz.U. Nr 177, poz. 1054 z późn. zm.) sprzedaż garażu zwolniona jest z podatku od towarów i usług.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7.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Termin i miejsce przetargu:</w:t>
      </w:r>
    </w:p>
    <w:p>
      <w:pPr>
        <w:spacing w:before="0" w:after="0" w:line="240"/>
        <w:ind w:right="0" w:left="284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Przetarg odb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ędzie się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w dniu 7 kwietnia 2016 r. o godzinie 12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u w:val="single"/>
          <w:shd w:fill="auto" w:val="clear"/>
          <w:vertAlign w:val="superscript"/>
        </w:rPr>
        <w:t xml:space="preserve">00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w sali nr 125 na I piętrze Urzędu Miasta Racibórz przy ul. Stefana Batorego 6.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8.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Wysoko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ść, forma, termin i miejsce wniesienia wadium:</w:t>
      </w:r>
    </w:p>
    <w:p>
      <w:p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8.1. Uczestnik przetargu winien wp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łacić wadium w pieniądzu, w wysokości 10% ceny wywoławczej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tj. 900 zł,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na konto bankowe Nr 97 1050 1070 1000 0004 0003 3544 ING Bank Śląski S.A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, z zastrzeżeniem, iż wpłata winna być uznana na rachunku gminy najpóźniej w dniu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31 marca 2016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 r.</w:t>
      </w:r>
    </w:p>
    <w:p>
      <w:pPr>
        <w:tabs>
          <w:tab w:val="left" w:pos="9261" w:leader="none"/>
        </w:tabs>
        <w:spacing w:before="0" w:after="0" w:line="240"/>
        <w:ind w:right="0" w:left="330" w:hanging="33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8.2.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Dowód wp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łaty wadium winien wskazywać jednoznacznie, kto wpłacił wadium i tym samym uprawniony jest do wzięcia udziału w przetargu na daną nieruchomość oraz wskazywać nieruchomość, której wpłata dotyczy.</w:t>
      </w:r>
    </w:p>
    <w:p>
      <w:p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8.3.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Uczestnikom przetargu, którzy nie zostan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ą nabywcami nieruchomości, wadium zostanie zwrócone na podany przez nich rachunek bankowy, w terminie trzech dni od daty zamknięcia przetargu.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9.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Warunki uczestnictwa w przetargu:</w:t>
      </w:r>
    </w:p>
    <w:p>
      <w:p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9.1. 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Przed przyst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ąpieniem do przetargu, uczestnik przetargu winien okazać komisji przetargowej dokument tożsamości, a w przypadku:</w:t>
      </w:r>
    </w:p>
    <w:p>
      <w:pPr>
        <w:spacing w:before="0" w:after="0" w:line="240"/>
        <w:ind w:right="0" w:left="645" w:hanging="33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    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osób fizycznych prowadz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ących działalność gospodarczą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–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zaświadczenie o przedsiębiorcach bez osobowości   prawnej wpisanych do Centralnej Ewidencji i Informacji o Działalności Gospodarczej, organizator przetargu  uzyska we własnym zakresie,</w:t>
      </w:r>
    </w:p>
    <w:p>
      <w:pPr>
        <w:spacing w:before="0" w:after="0" w:line="240"/>
        <w:ind w:right="0" w:left="630" w:hanging="31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    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podmiotów innych ni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ż osoby fizyczne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– konieczne jest dodatkowo przedłożenie aktualnego dokumentu (oryginał), z którego wynika upoważnienie do reprezentowania tego podmiotu, a gdy działa pełnomocnik,  konieczne jest przedłożenie pisemnego pełnomocnictwa. Za aktualny uważa się dokument wydany nie wcześniej niż 6 miesięcy przed terminem przetargu.</w:t>
      </w:r>
    </w:p>
    <w:p>
      <w:pPr>
        <w:spacing w:before="0" w:after="0" w:line="240"/>
        <w:ind w:right="0" w:left="630" w:hanging="33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    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ma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u w:val="single"/>
          <w:shd w:fill="auto" w:val="clear"/>
        </w:rPr>
        <w:t xml:space="preserve">łżonków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– do dokonywania czynności przetargowych konieczna jest obecność obojga małżonków lub jednego z nich z pisemnym pełnomocnictwem drugiego małżonka.</w:t>
      </w:r>
    </w:p>
    <w:p>
      <w:pPr>
        <w:spacing w:before="0" w:after="0" w:line="240"/>
        <w:ind w:right="0" w:left="625" w:hanging="13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W przypadku nabywania nieruchomo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ści przez jednego małżonka, do dokonywania czynności przetargowych konieczne będzie złożenie przed komisją przetargową oświadczenia stwierdzającego, iż nabycie nieruchomości nastąpi z majątku osobistego małżonka (przy panującym ustroju wspólności majątkowej małżeńskiej) lub  w przypadku rozdzielności majątkowej, przedłożenie umowy o wyłączeniu wspólności majątkowej małżeńskiej (oryginał lub uwierzytelniona kopia).</w:t>
      </w:r>
    </w:p>
    <w:p>
      <w:pPr>
        <w:spacing w:before="0" w:after="0" w:line="240"/>
        <w:ind w:right="0" w:left="435" w:hanging="43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9.2. 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łnomocnictwo do udziału w przetargu, udzielone w formie pisemnej i zawierające zgodę na uczestnictwo w przetargu w celu odpłatnego nabycia wskazanej nieruchomości oraz na składanie wszelkich oświadczeń, jakie  w trakcie przetargu okażą się konieczne, winno zostać przedłożone w oryginale.</w:t>
      </w:r>
    </w:p>
    <w:p>
      <w:p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9.3. Obywatele lub przedsi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ębiorcy nie będący członkami Europejskiego Obszaru Gospodarczego zobowiązani są przed spisaniem notarialnej umowy sprzedaży, przedłożyć zezwolenie na nabycie przez cudzoziemca nieruchomości, wydane przez Ministra Spraw Wewnętrznych.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10.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Skutki uchylenia si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ę od zawarcia umowy sprzedaży:</w:t>
      </w:r>
    </w:p>
    <w:p>
      <w:p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10.1. Osoba, która wygra przetarg zobowi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ązana jest do zapłaty wylicytowanej ceny (do której zarachowane zostanie wadium) nie później niż do dnia zawarcia umowy przenoszącej własność z zastrzeżeniem, iż za dokonanie wpłaty uważa się uznanie jej na rachunku Gminy.</w:t>
      </w:r>
    </w:p>
    <w:p>
      <w:p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10.2. Szczegó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łowy termin i miejsce zawarcia umowy, określone zostaną przez sprzedawcę po zamknięciu przetargu, w odrębnym zawiadomieniu.</w:t>
      </w:r>
    </w:p>
    <w:p>
      <w:p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10.3. Je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żeli osoba ustalona jako nabywca nieruchomości nie przystąpi bez usprawiedliwienia do zawarcia umowy, w miejscu i terminie podanym w zawiadomieniu, sprzedawca odstąpi od zawarcia umowy, a wpłacone wadium nie będzie podlegać zwrotowi.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11.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u w:val="single"/>
          <w:shd w:fill="auto" w:val="clear"/>
        </w:rPr>
        <w:t xml:space="preserve">Dodatkowe informacje:</w:t>
      </w:r>
    </w:p>
    <w:p>
      <w:pPr>
        <w:tabs>
          <w:tab w:val="left" w:pos="300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11.1. Przetarg jest skuteczny bez wzgl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ędu na liczbę uczestników przetargu, jeżeli przynajmniej jeden uczestnik</w:t>
        <w:tab/>
        <w:t xml:space="preserve">zaoferuje co najmniej jedno postąpienie minimalne powyżej ceny wywoławczej. Minimalne postąpienie nie może</w:t>
        <w:tab/>
        <w:t xml:space="preserve">wynosić mniej niż 1% ceny wywoławczej.</w:t>
      </w:r>
    </w:p>
    <w:p>
      <w:p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11.2. Koszty zwi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ązane z nabyciem praw do nieruchomości oraz ujawnieniem tych praw w księdze wieczystej, pokrywa nabywca nieruchomości.</w:t>
      </w:r>
    </w:p>
    <w:p>
      <w:p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11.3. Dla nieruchomo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ści objętej przetargiem nie zostało sporządzone świadectwo charakterystyki energetycznej.</w:t>
      </w:r>
    </w:p>
    <w:p>
      <w:p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11.4. Przetarg przeprowadzony zostanie w oparciu o rozporz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ądzenie Rady Ministrów z dnia 14 września 2004 r. w sprawie sposobu i trybu przeprowadzania przetargów oraz rokowań na zbycie nieruchomości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(t.j. Dz.U. z 2014 r., poz. 1490)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oraz zasad określonych w zarządzeniu Nr 787/2008 Prezydenta Miasta Racibórz - Organu Wykonawczego Gminy z dnia 15 lipca 2008 r.</w:t>
      </w:r>
    </w:p>
    <w:p>
      <w:p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11.5. Termin do z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łożenia wniosku przez osoby, którym przysługuje pierwszeństwo nabycia nieruchomości,                   na podstawie art. 34 ustawy z dnia 21 sierpnia 1997 r. o gospodarce nieruchomościami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t.j. Dz.U. z 2015 r.,               poz. 1774 z późn.zm.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 upłynął 28 stycznia 2016 r.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11.6. Prezydent Miasta Racibórz zastrzega sobie prawo odwo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łania przetargu z ważnych przyczyn.</w:t>
      </w:r>
    </w:p>
    <w:p>
      <w:pPr>
        <w:spacing w:before="0" w:after="0" w:line="240"/>
        <w:ind w:right="0" w:left="284" w:hanging="284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11.7. Gara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0"/>
          <w:shd w:fill="auto" w:val="clear"/>
        </w:rPr>
        <w:t xml:space="preserve">ż można oglądać w dniach 9 marca 2016 r. i 24 marca 2016 r., po uprzednim uzgodnieniu terminu                         z pracownikiem Oddziału Gospodarki Mieszkaniowej, Racibórz ul. Kolejowa 21, tel. 32 415 43 20 w. 35.</w:t>
      </w:r>
    </w:p>
    <w:p>
      <w:pPr>
        <w:spacing w:before="0" w:after="0" w:line="240"/>
        <w:ind w:right="0" w:left="284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Og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0"/>
          <w:shd w:fill="auto" w:val="clear"/>
        </w:rPr>
        <w:t xml:space="preserve">łoszenie oraz zasady organizowania przetargów opublikowane zostały w Biuletynie Informacji Publicznej Urzędu Miasta Racibórz na stronie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 www.bipraciborz.pl, zakładka Rejestry/Rejestr przetargów nieruchomości oraz na stronie internetowej Urzędu Miasta Racibórz www.raciborz.pl, podstrona Gospodarka, zakładka Oferta inwestycyjna.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Szczegó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  <w:t xml:space="preserve">łowych informacji na temat przedmiotu i warunków sprzedaży udziela Wydział Gospodarki Nieruchomościami Urzędu Miasta Raciborzu przy ul. Króla Stefana Batorego 6, pok. 217 (II piętro),                        tel. 32 755 06 70.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